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658" w:rsidRDefault="00490658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805" w:type="dxa"/>
        <w:tblInd w:w="1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5"/>
      </w:tblGrid>
      <w:tr w:rsidR="00490658" w:rsidTr="001A4E4E">
        <w:trPr>
          <w:trHeight w:val="175"/>
        </w:trPr>
        <w:tc>
          <w:tcPr>
            <w:tcW w:w="9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Утв. приказом Минфина РФ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от 28 декабря 2010 г. № 191н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i/>
                <w:sz w:val="18"/>
              </w:rPr>
              <w:t>(в ред. от 2 ноября 2017 г.)</w:t>
            </w:r>
          </w:p>
        </w:tc>
      </w:tr>
    </w:tbl>
    <w:p w:rsidR="001A4E4E" w:rsidRPr="001A4E4E" w:rsidRDefault="001A4E4E" w:rsidP="001A4E4E">
      <w:pPr>
        <w:spacing w:after="0"/>
        <w:rPr>
          <w:vanish/>
        </w:rPr>
      </w:pP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3261"/>
        <w:gridCol w:w="2128"/>
        <w:gridCol w:w="1560"/>
      </w:tblGrid>
      <w:tr w:rsidR="001A4E4E" w:rsidRPr="001A4E4E" w:rsidTr="001A4E4E">
        <w:trPr>
          <w:trHeight w:val="273"/>
        </w:trPr>
        <w:tc>
          <w:tcPr>
            <w:tcW w:w="9660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b/>
                <w:sz w:val="24"/>
              </w:rPr>
              <w:t xml:space="preserve">                                            </w:t>
            </w:r>
          </w:p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b/>
                <w:sz w:val="24"/>
              </w:rPr>
              <w:t> </w:t>
            </w:r>
          </w:p>
          <w:p w:rsidR="001A4E4E" w:rsidRPr="001A4E4E" w:rsidRDefault="001A4E4E" w:rsidP="001A4E4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b/>
                <w:sz w:val="24"/>
              </w:rPr>
              <w:t>ПОЯСНИТЕЛЬНАЯ ЗАПИСКА</w:t>
            </w:r>
          </w:p>
        </w:tc>
      </w:tr>
      <w:tr w:rsidR="001A4E4E" w:rsidRPr="001A4E4E" w:rsidTr="001A4E4E">
        <w:trPr>
          <w:trHeight w:val="337"/>
        </w:trPr>
        <w:tc>
          <w:tcPr>
            <w:tcW w:w="8100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b/>
                <w:sz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КОДЫ</w:t>
            </w:r>
          </w:p>
        </w:tc>
      </w:tr>
      <w:tr w:rsidR="001A4E4E" w:rsidRPr="001A4E4E" w:rsidTr="001A4E4E">
        <w:trPr>
          <w:trHeight w:val="273"/>
        </w:trPr>
        <w:tc>
          <w:tcPr>
            <w:tcW w:w="271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Форма по ОКУД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0503360</w:t>
            </w:r>
          </w:p>
        </w:tc>
      </w:tr>
      <w:tr w:rsidR="001A4E4E" w:rsidRPr="001A4E4E" w:rsidTr="001A4E4E">
        <w:trPr>
          <w:trHeight w:val="273"/>
        </w:trPr>
        <w:tc>
          <w:tcPr>
            <w:tcW w:w="5972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 xml:space="preserve">на </w:t>
            </w:r>
            <w:r w:rsidRPr="001A4E4E">
              <w:rPr>
                <w:rFonts w:ascii="Times New Roman" w:eastAsia="Times New Roman" w:hAnsi="Times New Roman"/>
                <w:b/>
                <w:sz w:val="24"/>
              </w:rPr>
              <w:t>1 октября 2023 г.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Дата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01.10.2023</w:t>
            </w:r>
          </w:p>
        </w:tc>
      </w:tr>
      <w:tr w:rsidR="001A4E4E" w:rsidRPr="001A4E4E" w:rsidTr="001A4E4E">
        <w:trPr>
          <w:trHeight w:val="273"/>
        </w:trPr>
        <w:tc>
          <w:tcPr>
            <w:tcW w:w="271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Наименование финансового органа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по ОКПО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5D7E94">
            <w:pPr>
              <w:rPr>
                <w:rFonts w:eastAsia="Times New Roman"/>
                <w:sz w:val="24"/>
              </w:rPr>
            </w:pPr>
          </w:p>
        </w:tc>
      </w:tr>
      <w:tr w:rsidR="001A4E4E" w:rsidRPr="001A4E4E" w:rsidTr="001A4E4E">
        <w:trPr>
          <w:trHeight w:val="273"/>
        </w:trPr>
        <w:tc>
          <w:tcPr>
            <w:tcW w:w="271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 xml:space="preserve">Глава по БК 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5D7E94">
            <w:pPr>
              <w:rPr>
                <w:rFonts w:eastAsia="Times New Roman"/>
                <w:sz w:val="24"/>
              </w:rPr>
            </w:pPr>
          </w:p>
        </w:tc>
      </w:tr>
      <w:tr w:rsidR="001A4E4E" w:rsidRPr="001A4E4E" w:rsidTr="001A4E4E">
        <w:trPr>
          <w:trHeight w:val="273"/>
        </w:trPr>
        <w:tc>
          <w:tcPr>
            <w:tcW w:w="271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Наименование бюджета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b/>
                <w:sz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b/>
                <w:sz w:val="24"/>
              </w:rPr>
              <w:t> по ОКТМО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5D7E94">
            <w:pPr>
              <w:rPr>
                <w:rFonts w:eastAsia="Times New Roman"/>
                <w:sz w:val="24"/>
              </w:rPr>
            </w:pPr>
          </w:p>
        </w:tc>
      </w:tr>
      <w:tr w:rsidR="001A4E4E" w:rsidRPr="001A4E4E" w:rsidTr="001A4E4E">
        <w:trPr>
          <w:trHeight w:val="273"/>
        </w:trPr>
        <w:tc>
          <w:tcPr>
            <w:tcW w:w="271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 xml:space="preserve">Периодичность: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месячная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</w:t>
            </w:r>
          </w:p>
        </w:tc>
      </w:tr>
      <w:tr w:rsidR="001A4E4E" w:rsidRPr="001A4E4E" w:rsidTr="001A4E4E">
        <w:trPr>
          <w:trHeight w:val="356"/>
        </w:trPr>
        <w:tc>
          <w:tcPr>
            <w:tcW w:w="271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 xml:space="preserve">Единица измерения: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руб.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 по ОКЕИ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A4E4E" w:rsidRPr="001A4E4E" w:rsidRDefault="001A4E4E" w:rsidP="001A4E4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A4E4E">
              <w:rPr>
                <w:rFonts w:ascii="Times New Roman" w:eastAsia="Times New Roman" w:hAnsi="Times New Roman"/>
                <w:sz w:val="24"/>
              </w:rPr>
              <w:t>383</w:t>
            </w:r>
          </w:p>
        </w:tc>
      </w:tr>
    </w:tbl>
    <w:p w:rsidR="001A4E4E" w:rsidRDefault="001A4E4E" w:rsidP="001A4E4E">
      <w:pPr>
        <w:spacing w:after="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b/>
          <w:color w:val="000000"/>
          <w:sz w:val="24"/>
        </w:rPr>
        <w:t>Раздел 1. "Организационная структура субъекта бюджетной отчетности"</w:t>
      </w:r>
      <w:r>
        <w:rPr>
          <w:rFonts w:ascii="Times New Roman" w:eastAsia="Times New Roman" w:hAnsi="Times New Roman"/>
          <w:b/>
          <w:color w:val="000000"/>
          <w:sz w:val="24"/>
        </w:rPr>
        <w:br/>
      </w:r>
      <w:r>
        <w:rPr>
          <w:rFonts w:ascii="Times New Roman" w:eastAsia="Times New Roman" w:hAnsi="Times New Roman"/>
          <w:color w:val="000000"/>
          <w:sz w:val="24"/>
        </w:rPr>
        <w:t>    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</w:t>
      </w:r>
      <w:r>
        <w:rPr>
          <w:rFonts w:ascii="Times New Roman" w:eastAsia="Times New Roman" w:hAnsi="Times New Roman"/>
          <w:color w:val="000000"/>
          <w:sz w:val="24"/>
        </w:rPr>
        <w:t>актом и</w:t>
      </w:r>
      <w:r>
        <w:rPr>
          <w:rFonts w:ascii="Times New Roman" w:eastAsia="Times New Roman" w:hAnsi="Times New Roman"/>
          <w:color w:val="000000"/>
          <w:sz w:val="24"/>
        </w:rPr>
        <w:t xml:space="preserve">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r>
        <w:rPr>
          <w:rFonts w:ascii="Times New Roman" w:eastAsia="Times New Roman" w:hAnsi="Times New Roman"/>
          <w:color w:val="000000"/>
          <w:sz w:val="24"/>
        </w:rPr>
        <w:t>структурными функциями</w:t>
      </w:r>
      <w:r>
        <w:rPr>
          <w:rFonts w:ascii="Times New Roman" w:eastAsia="Times New Roman" w:hAnsi="Times New Roman"/>
          <w:color w:val="000000"/>
          <w:sz w:val="24"/>
        </w:rPr>
        <w:t xml:space="preserve">. Учреждения имеют нормативное и правовое обоснование. Подведомственные </w:t>
      </w:r>
      <w:r>
        <w:rPr>
          <w:rFonts w:ascii="Times New Roman" w:eastAsia="Times New Roman" w:hAnsi="Times New Roman"/>
          <w:color w:val="000000"/>
          <w:sz w:val="24"/>
        </w:rPr>
        <w:t>учреждения: МКУК</w:t>
      </w:r>
      <w:r>
        <w:rPr>
          <w:rFonts w:ascii="Times New Roman" w:eastAsia="Times New Roman" w:hAnsi="Times New Roman"/>
          <w:color w:val="000000"/>
          <w:sz w:val="24"/>
        </w:rPr>
        <w:t xml:space="preserve"> "ДЦ с.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Огоджа".  Штатная численность по администрации по плану 4,75 ед., фактически 3,75 ед.</w:t>
      </w:r>
      <w:r>
        <w:rPr>
          <w:rFonts w:ascii="Times New Roman" w:eastAsia="Times New Roman" w:hAnsi="Times New Roman"/>
          <w:color w:val="000000"/>
          <w:sz w:val="24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>
        <w:rPr>
          <w:rFonts w:ascii="Times New Roman" w:eastAsia="Times New Roman" w:hAnsi="Times New Roman"/>
          <w:color w:val="000000"/>
          <w:sz w:val="24"/>
        </w:rPr>
        <w:br/>
        <w:t>-0102-функцианирование главного должностного лица;</w:t>
      </w:r>
      <w:r>
        <w:rPr>
          <w:rFonts w:ascii="Times New Roman" w:eastAsia="Times New Roman" w:hAnsi="Times New Roman"/>
          <w:color w:val="000000"/>
          <w:sz w:val="24"/>
        </w:rPr>
        <w:br/>
        <w:t>-0104-функцианирование органа исполнительной власти;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-0106-прочие межбюджетные трансферты общего характера</w:t>
      </w: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-0113-другие вопросы в органах государственного управления;</w:t>
      </w: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-0203-мобилизационная и вневойсковая подготовка;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-0310- пожарная безопасность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-0502- жилищно-коммунальное хозяйство</w:t>
      </w:r>
      <w:r>
        <w:rPr>
          <w:rFonts w:ascii="Times New Roman" w:eastAsia="Times New Roman" w:hAnsi="Times New Roman"/>
          <w:color w:val="000000"/>
          <w:sz w:val="24"/>
        </w:rPr>
        <w:br/>
        <w:t>-0503-благоустройство;</w:t>
      </w:r>
      <w:r>
        <w:rPr>
          <w:rFonts w:ascii="Times New Roman" w:eastAsia="Times New Roman" w:hAnsi="Times New Roman"/>
          <w:color w:val="000000"/>
          <w:sz w:val="24"/>
        </w:rPr>
        <w:br/>
        <w:t>-0801- культура (д/к, библиотека);</w:t>
      </w:r>
      <w:r>
        <w:rPr>
          <w:rFonts w:ascii="Times New Roman" w:eastAsia="Times New Roman" w:hAnsi="Times New Roman"/>
          <w:color w:val="000000"/>
          <w:sz w:val="24"/>
        </w:rPr>
        <w:br/>
        <w:t>-1001-социальная политика;</w:t>
      </w: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lastRenderedPageBreak/>
        <w:br/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b/>
          <w:color w:val="000000"/>
          <w:sz w:val="24"/>
        </w:rPr>
        <w:t>Раздел 2. "Результаты деятельности субъекта бюджетной отчетности"</w:t>
      </w:r>
      <w:r>
        <w:rPr>
          <w:rFonts w:ascii="Times New Roman" w:eastAsia="Times New Roman" w:hAnsi="Times New Roman"/>
          <w:color w:val="000000"/>
          <w:sz w:val="24"/>
        </w:rPr>
        <w:br/>
        <w:t>      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         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>
        <w:rPr>
          <w:rFonts w:ascii="Times New Roman" w:eastAsia="Times New Roman" w:hAnsi="Times New Roman"/>
          <w:color w:val="000000"/>
          <w:sz w:val="24"/>
        </w:rPr>
        <w:br/>
        <w:t>         В течении отчетного периода сотрудники  на курсах повышения квалификации и проф. переподготовки не обучались</w:t>
      </w:r>
      <w:r>
        <w:rPr>
          <w:rFonts w:ascii="Times New Roman" w:eastAsia="Times New Roman" w:hAnsi="Times New Roman"/>
          <w:color w:val="000000"/>
          <w:sz w:val="24"/>
        </w:rPr>
        <w:br/>
        <w:t>         Закупки у единственного поставщика за 9 месяцев 2023 г.  произведены в сумме 452174,74 руб. в том числе: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0104 8880080040 244 226 - 119744,00 руб. (услуги ито ООО "ИнТеП", ООО "Тензор", договора оказания услуг)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0104 8880080040 244 346 - 118760,00 руб. (приобретение тмц)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0104 8880080040 247 223 - 67456,84 руб. (электроэнергия ПАО "ДЭК")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0113 8880080140 244 226 - 67239,90 руб. (договора оказания услуг ито)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0113 8880080140 244 346 - 10545,00 руб. (приобретение тмц)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0310 0910110199 244 226 - 52299,00 руб. (договор оказания услуг по пб)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0310 0910110199 244 227 - 3200,00 руб. (договор страхования ООО "Гелиос")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t>0310 0910110199 244 343 - 12930,00 руб. (приобретение гсм на обеспечение пб)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>Раздел 3. "Анализ отчета об исполнении бюджета субъектом бюджетной отчетности"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         По состоянию на 01.10.2023 г. доходная часть бюджета исполнена на 83,8 % при плане 6785421,41 руб.  Налоговые и не налоговые доходы на 100% (план 2467760,00 исполнение 2466926,32) в том числе: налог на доходы физических лиц на 108,3% при плане 2028160,</w:t>
      </w:r>
      <w:r>
        <w:rPr>
          <w:rFonts w:ascii="Times New Roman" w:eastAsia="Times New Roman" w:hAnsi="Times New Roman"/>
          <w:color w:val="000000"/>
          <w:sz w:val="24"/>
        </w:rPr>
        <w:t>00)</w:t>
      </w:r>
      <w:r>
        <w:rPr>
          <w:rFonts w:ascii="Times New Roman" w:eastAsia="Times New Roman" w:hAnsi="Times New Roman"/>
          <w:color w:val="000000"/>
          <w:sz w:val="24"/>
        </w:rPr>
        <w:t xml:space="preserve">, налог на имущество и земельный налог при плане 17000,00 руб. исполнены на 30,2 %, доходы от сдачи в аренду имущества при плане 401600,00 исполнены на 66,2 %, госпошлина при плане </w:t>
      </w:r>
      <w:r>
        <w:rPr>
          <w:rFonts w:ascii="Times New Roman" w:eastAsia="Times New Roman" w:hAnsi="Times New Roman"/>
          <w:color w:val="000000"/>
          <w:sz w:val="24"/>
        </w:rPr>
        <w:t>21000, руб.</w:t>
      </w:r>
      <w:r>
        <w:rPr>
          <w:rFonts w:ascii="Times New Roman" w:eastAsia="Times New Roman" w:hAnsi="Times New Roman"/>
          <w:color w:val="000000"/>
          <w:sz w:val="24"/>
        </w:rPr>
        <w:t xml:space="preserve"> не исполнена. Безвозмездные </w:t>
      </w:r>
      <w:r>
        <w:rPr>
          <w:rFonts w:ascii="Times New Roman" w:eastAsia="Times New Roman" w:hAnsi="Times New Roman"/>
          <w:color w:val="000000"/>
          <w:sz w:val="24"/>
        </w:rPr>
        <w:t>поступления исполнены</w:t>
      </w:r>
      <w:r>
        <w:rPr>
          <w:rFonts w:ascii="Times New Roman" w:eastAsia="Times New Roman" w:hAnsi="Times New Roman"/>
          <w:color w:val="000000"/>
          <w:sz w:val="24"/>
        </w:rPr>
        <w:t xml:space="preserve"> на 74,6 %. при плане 4317661,</w:t>
      </w:r>
      <w:r>
        <w:rPr>
          <w:rFonts w:ascii="Times New Roman" w:eastAsia="Times New Roman" w:hAnsi="Times New Roman"/>
          <w:color w:val="000000"/>
          <w:sz w:val="24"/>
        </w:rPr>
        <w:t>41 в</w:t>
      </w:r>
      <w:r>
        <w:rPr>
          <w:rFonts w:ascii="Times New Roman" w:eastAsia="Times New Roman" w:hAnsi="Times New Roman"/>
          <w:color w:val="000000"/>
          <w:sz w:val="24"/>
        </w:rPr>
        <w:t xml:space="preserve"> т.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ч. исполнение по дотациям бюджетам при плане 943014,08 руб. составило 77,8 %, субвенции на осуществление первичного воинского учета 48,9 % при плане 160600,</w:t>
      </w:r>
      <w:r>
        <w:rPr>
          <w:rFonts w:ascii="Times New Roman" w:eastAsia="Times New Roman" w:hAnsi="Times New Roman"/>
          <w:color w:val="000000"/>
          <w:sz w:val="24"/>
        </w:rPr>
        <w:t>00, субвенции</w:t>
      </w:r>
      <w:r>
        <w:rPr>
          <w:rFonts w:ascii="Times New Roman" w:eastAsia="Times New Roman" w:hAnsi="Times New Roman"/>
          <w:color w:val="000000"/>
          <w:sz w:val="24"/>
        </w:rPr>
        <w:t xml:space="preserve"> на государственную регистрацию актов гражданского состояния при плане 787,33 руб.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не исполнены (отсутствие актовых записей), межбюджетные трансферты исполнены на 75% при плане 3213260,00 руб.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        Расходная часть бюджета Администрации Огоджинского сельсовета при плане 6443975,60 руб. исполнена на 3799089,02 руб</w:t>
      </w:r>
      <w:r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 xml:space="preserve"> что составляет 59 %. Расходы по общегосударственным вопросам по главе 0102 при плане 1632900,00 руб. 64,5</w:t>
      </w:r>
      <w:r>
        <w:rPr>
          <w:rFonts w:ascii="Times New Roman" w:eastAsia="Times New Roman" w:hAnsi="Times New Roman"/>
          <w:color w:val="000000"/>
          <w:sz w:val="24"/>
        </w:rPr>
        <w:t>%,</w:t>
      </w:r>
      <w:r>
        <w:rPr>
          <w:rFonts w:ascii="Times New Roman" w:eastAsia="Times New Roman" w:hAnsi="Times New Roman"/>
          <w:color w:val="000000"/>
          <w:sz w:val="24"/>
        </w:rPr>
        <w:t xml:space="preserve"> по главе 0104 при плане 1342729,04 исполнены на 22,8% (вакансия муниципального служащего</w:t>
      </w:r>
      <w:r>
        <w:rPr>
          <w:rFonts w:ascii="Times New Roman" w:eastAsia="Times New Roman" w:hAnsi="Times New Roman"/>
          <w:color w:val="000000"/>
          <w:sz w:val="24"/>
        </w:rPr>
        <w:t>), расходы</w:t>
      </w:r>
      <w:r>
        <w:rPr>
          <w:rFonts w:ascii="Times New Roman" w:eastAsia="Times New Roman" w:hAnsi="Times New Roman"/>
          <w:color w:val="000000"/>
          <w:sz w:val="24"/>
        </w:rPr>
        <w:t xml:space="preserve"> по другим общегосударственным вопросам исполнены на 72,3 % при плане 2974659,23 руб. Исполнение по главе 0203 расходы на осуществление воинского учета составило 48,9 % при плане 160600,00 руб. по главе 0106 иные межбюджетные трансферты при плане 12000,00 руб. исполнены в полном объеме</w:t>
      </w:r>
      <w:r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 xml:space="preserve"> Бюджетные </w:t>
      </w:r>
      <w:r>
        <w:rPr>
          <w:rFonts w:ascii="Times New Roman" w:eastAsia="Times New Roman" w:hAnsi="Times New Roman"/>
          <w:color w:val="000000"/>
          <w:sz w:val="24"/>
        </w:rPr>
        <w:t>назначения по</w:t>
      </w:r>
      <w:r>
        <w:rPr>
          <w:rFonts w:ascii="Times New Roman" w:eastAsia="Times New Roman" w:hAnsi="Times New Roman"/>
          <w:color w:val="000000"/>
          <w:sz w:val="24"/>
        </w:rPr>
        <w:t xml:space="preserve"> разделу 0310 пожарная безопасность при плане 103700,00 руб</w:t>
      </w:r>
      <w:r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 xml:space="preserve"> исполнены на 66%.  По разделу 0502 жилищно-коммунальное хозяйство при плане 20000,00 руб. исполнение составило 0 % по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причине отсутствия договоров услуг и работ. Расходы по главе 1001 муниципальные пенсии при плане 191600,00 руб. исполнены на 67,3 %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        Расходы по главе 0801 "Культура" на 01.10.2023 г.  при плане 1310675,00 руб. исполнены 56,5 % или 740994,24 руб.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       Согласно внесенным в Бюджетный кодекс поправок произведено изменение элемента бюджета по кодам бюджетной классификации с кодом подвида дохода «2100» и «2200».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Таким образом, форма 0503373 имеет отрицательные показатели по коду 06 «Иные причины, требуются пояснения» по изменению валюты баланса.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Если по бюджетному учету показатель имеет отрицательное значение, то в бюджетной отчетности в случаях, предусмотренных Приказом № 191н, этот показатель отражается в отрицательном значении – со знаком «минус»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>Раздел 4. "Анализ показателей бухгалтерской отчетности субъекта бюджетной отчетности"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4.</w:t>
      </w:r>
      <w:r>
        <w:rPr>
          <w:rFonts w:ascii="Times New Roman" w:eastAsia="Times New Roman" w:hAnsi="Times New Roman"/>
          <w:color w:val="000000"/>
          <w:sz w:val="24"/>
        </w:rPr>
        <w:t>1. По</w:t>
      </w:r>
      <w:r>
        <w:rPr>
          <w:rFonts w:ascii="Times New Roman" w:eastAsia="Times New Roman" w:hAnsi="Times New Roman"/>
          <w:color w:val="000000"/>
          <w:sz w:val="24"/>
        </w:rPr>
        <w:t xml:space="preserve"> сверке показателей Администрации Огоджинского сельсовета с данными отчетности МКУ "Финансовое управление Администрации Селемджинского района" по форме ф.0503151 на 01.10.2023 г. -  расхождений нет. У Огоджинского сельсовета средств в пути нет. Остаток средств на счете составляет 2118383,75 руб.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4.2. Иная информация (дебиторская, кредиторская задолженность)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Дебиторская задолженность по состоянию на 01.10.2023 г. составляет 11500,00 руб</w:t>
      </w:r>
      <w:r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(ущерб</w:t>
      </w:r>
      <w:r>
        <w:rPr>
          <w:rFonts w:ascii="Times New Roman" w:eastAsia="Times New Roman" w:hAnsi="Times New Roman"/>
          <w:color w:val="000000"/>
          <w:sz w:val="24"/>
        </w:rPr>
        <w:t xml:space="preserve"> имущества-похищенный музыкальный центр,</w:t>
      </w:r>
      <w:r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в разработке полиции)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Кредиторская задолженность по состоянию на 01.10.2023 г. отсутствует.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7"/>
        </w:rPr>
        <w:t>Раздел 5. "Прочие вопросы деятельности субъекта бюджетной отчетности"</w:t>
      </w: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br/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1. Для</w:t>
      </w:r>
      <w:r>
        <w:rPr>
          <w:rFonts w:ascii="Times New Roman" w:eastAsia="Times New Roman" w:hAnsi="Times New Roman"/>
          <w:color w:val="000000"/>
          <w:sz w:val="24"/>
        </w:rPr>
        <w:t xml:space="preserve"> осуществления деятельности в организации используются следующие ППО:</w:t>
      </w:r>
    </w:p>
    <w:p w:rsidR="001A4E4E" w:rsidRDefault="001A4E4E" w:rsidP="001A4E4E">
      <w:pPr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"1С-Бухгалтерия", "ИнТеП- Заработная плата", "СБИС- электронная отчетность</w:t>
      </w:r>
      <w:r>
        <w:rPr>
          <w:rFonts w:ascii="Times New Roman" w:eastAsia="Times New Roman" w:hAnsi="Times New Roman"/>
          <w:color w:val="000000"/>
          <w:sz w:val="24"/>
        </w:rPr>
        <w:t>», «</w:t>
      </w:r>
      <w:r>
        <w:rPr>
          <w:rFonts w:ascii="Times New Roman" w:eastAsia="Times New Roman" w:hAnsi="Times New Roman"/>
          <w:color w:val="000000"/>
          <w:sz w:val="24"/>
        </w:rPr>
        <w:t>СУФД"</w:t>
      </w:r>
    </w:p>
    <w:p w:rsidR="001A4E4E" w:rsidRDefault="001A4E4E" w:rsidP="001A4E4E">
      <w:pPr>
        <w:spacing w:after="0"/>
        <w:rPr>
          <w:rFonts w:ascii="Tahoma" w:eastAsia="Tahoma" w:hAnsi="Tahoma" w:cs="Tahoma"/>
          <w:color w:val="000000"/>
          <w:sz w:val="18"/>
        </w:rPr>
      </w:pPr>
      <w:r>
        <w:rPr>
          <w:rFonts w:ascii="Tahoma" w:eastAsia="Tahoma" w:hAnsi="Tahoma" w:cs="Tahoma"/>
          <w:color w:val="000000"/>
          <w:sz w:val="18"/>
        </w:rPr>
        <w:br/>
      </w:r>
    </w:p>
    <w:p w:rsidR="00490658" w:rsidRPr="003B3D40" w:rsidRDefault="00490658" w:rsidP="00D96B0F">
      <w:pPr>
        <w:spacing w:after="0" w:line="240" w:lineRule="auto"/>
        <w:rPr>
          <w:sz w:val="28"/>
          <w:szCs w:val="28"/>
        </w:rPr>
      </w:pPr>
      <w:r>
        <w:br/>
      </w:r>
      <w:r w:rsidRPr="003B3D40">
        <w:t xml:space="preserve">     </w:t>
      </w:r>
      <w:r w:rsidRPr="00D96B0F">
        <w:rPr>
          <w:rFonts w:ascii="Times New Roman" w:hAnsi="Times New Roman"/>
        </w:rPr>
        <w:t xml:space="preserve">Глава Огоджинского сельсовета                                                </w:t>
      </w:r>
      <w:r w:rsidRPr="00D96B0F">
        <w:rPr>
          <w:rFonts w:ascii="Times New Roman" w:hAnsi="Times New Roman"/>
          <w:noProof/>
          <w:lang w:eastAsia="ru-RU"/>
        </w:rPr>
        <w:t xml:space="preserve"> </w:t>
      </w:r>
      <w:r w:rsidRPr="00D96B0F">
        <w:rPr>
          <w:rFonts w:ascii="Times New Roman" w:hAnsi="Times New Roman"/>
        </w:rPr>
        <w:t xml:space="preserve">          Э.С.</w:t>
      </w:r>
      <w:r w:rsidR="00E553BE">
        <w:rPr>
          <w:rFonts w:ascii="Times New Roman" w:hAnsi="Times New Roman"/>
        </w:rPr>
        <w:t xml:space="preserve"> </w:t>
      </w:r>
      <w:r w:rsidRPr="00D96B0F">
        <w:rPr>
          <w:rFonts w:ascii="Times New Roman" w:hAnsi="Times New Roman"/>
        </w:rPr>
        <w:t>Караханян</w:t>
      </w:r>
    </w:p>
    <w:sectPr w:rsidR="00490658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A4E4E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4B30"/>
    <w:rsid w:val="00D40592"/>
    <w:rsid w:val="00D4613B"/>
    <w:rsid w:val="00D47D37"/>
    <w:rsid w:val="00D5254C"/>
    <w:rsid w:val="00D74AA6"/>
    <w:rsid w:val="00D96B0F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553BE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C7B30B"/>
  <w15:docId w15:val="{0DC4311F-3531-47F1-A8EC-C7E9778B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A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  <w:style w:type="table" w:customStyle="1" w:styleId="NormalTable">
    <w:name w:val="Normal Table"/>
    <w:rsid w:val="001A4E4E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13</cp:revision>
  <cp:lastPrinted>2023-04-20T04:05:00Z</cp:lastPrinted>
  <dcterms:created xsi:type="dcterms:W3CDTF">2020-05-06T07:59:00Z</dcterms:created>
  <dcterms:modified xsi:type="dcterms:W3CDTF">2023-10-25T06:20:00Z</dcterms:modified>
</cp:coreProperties>
</file>